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DC1BDF" w14:textId="77777777" w:rsidR="00E61BF6" w:rsidRPr="00E61BF6" w:rsidRDefault="00E61BF6" w:rsidP="003F3A0E">
      <w:pPr>
        <w:widowControl w:val="0"/>
        <w:autoSpaceDE w:val="0"/>
        <w:autoSpaceDN w:val="0"/>
        <w:adjustRightInd w:val="0"/>
        <w:rPr>
          <w:rFonts w:asciiTheme="majorHAnsi" w:hAnsiTheme="majorHAnsi" w:cs="Tahoma"/>
          <w:u w:val="single"/>
          <w:lang w:val="en-US"/>
        </w:rPr>
      </w:pPr>
      <w:bookmarkStart w:id="0" w:name="_GoBack"/>
      <w:bookmarkEnd w:id="0"/>
      <w:r w:rsidRPr="00E61BF6">
        <w:rPr>
          <w:rFonts w:asciiTheme="majorHAnsi" w:hAnsiTheme="majorHAnsi" w:cs="Tahoma"/>
          <w:u w:val="single"/>
          <w:lang w:val="en-US"/>
        </w:rPr>
        <w:t>WORKPLACE LEARNING POLICY QUESTIONS &amp; ANSWERS</w:t>
      </w:r>
    </w:p>
    <w:p w14:paraId="49262365" w14:textId="521DA827" w:rsidR="003F3A0E" w:rsidRPr="00BC3DB9" w:rsidRDefault="003F3A0E" w:rsidP="003F3A0E">
      <w:pPr>
        <w:rPr>
          <w:rFonts w:ascii="Calibri" w:hAnsi="Calibri" w:cs="Calibri"/>
          <w:sz w:val="20"/>
          <w:szCs w:val="20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> </w:t>
      </w:r>
      <w:r w:rsidR="00BC3DB9" w:rsidRPr="00BC3DB9">
        <w:rPr>
          <w:rFonts w:ascii="Calibri" w:hAnsi="Calibri" w:cs="Calibri"/>
          <w:sz w:val="20"/>
          <w:szCs w:val="20"/>
          <w:lang w:val="en-US"/>
        </w:rPr>
        <w:t xml:space="preserve"> </w:t>
      </w: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4371"/>
        <w:gridCol w:w="5802"/>
      </w:tblGrid>
      <w:tr w:rsidR="00E61BF6" w:rsidRPr="0045594D" w14:paraId="7D292971" w14:textId="77777777" w:rsidTr="0045594D">
        <w:trPr>
          <w:trHeight w:val="269"/>
        </w:trPr>
        <w:tc>
          <w:tcPr>
            <w:tcW w:w="4371" w:type="dxa"/>
          </w:tcPr>
          <w:p w14:paraId="5728C211" w14:textId="77777777" w:rsidR="00E61BF6" w:rsidRPr="0045594D" w:rsidRDefault="00E61BF6" w:rsidP="003F3A0E">
            <w:pPr>
              <w:rPr>
                <w:rFonts w:ascii="Calibri" w:hAnsi="Calibri"/>
              </w:rPr>
            </w:pPr>
            <w:r w:rsidRPr="0045594D">
              <w:rPr>
                <w:rFonts w:ascii="Calibri" w:hAnsi="Calibri"/>
              </w:rPr>
              <w:t>Question</w:t>
            </w:r>
          </w:p>
        </w:tc>
        <w:tc>
          <w:tcPr>
            <w:tcW w:w="5802" w:type="dxa"/>
          </w:tcPr>
          <w:p w14:paraId="51A9E0FD" w14:textId="1B828608" w:rsidR="00E61BF6" w:rsidRPr="0045594D" w:rsidRDefault="00E61BF6" w:rsidP="00837807">
            <w:pPr>
              <w:rPr>
                <w:rFonts w:ascii="Calibri" w:hAnsi="Calibri"/>
                <w:color w:val="C0504D" w:themeColor="accent2"/>
              </w:rPr>
            </w:pPr>
            <w:r w:rsidRPr="0045594D">
              <w:rPr>
                <w:rFonts w:ascii="Calibri" w:hAnsi="Calibri"/>
              </w:rPr>
              <w:t>Answer</w:t>
            </w:r>
            <w:r w:rsidR="00ED263E" w:rsidRPr="0045594D">
              <w:rPr>
                <w:rFonts w:ascii="Calibri" w:hAnsi="Calibri"/>
              </w:rPr>
              <w:t xml:space="preserve"> </w:t>
            </w:r>
          </w:p>
        </w:tc>
      </w:tr>
      <w:tr w:rsidR="00E61BF6" w:rsidRPr="0045594D" w14:paraId="7C0E4078" w14:textId="77777777" w:rsidTr="00F24541">
        <w:trPr>
          <w:trHeight w:val="3015"/>
        </w:trPr>
        <w:tc>
          <w:tcPr>
            <w:tcW w:w="4371" w:type="dxa"/>
          </w:tcPr>
          <w:p w14:paraId="2F27C498" w14:textId="77777777" w:rsidR="00E61BF6" w:rsidRPr="0045594D" w:rsidRDefault="00E61BF6" w:rsidP="00E61BF6">
            <w:pPr>
              <w:rPr>
                <w:rFonts w:ascii="Calibri" w:hAnsi="Calibri" w:cs="Arial"/>
                <w:lang w:val="en-US"/>
              </w:rPr>
            </w:pPr>
            <w:r w:rsidRPr="0045594D">
              <w:rPr>
                <w:rFonts w:ascii="Calibri" w:hAnsi="Calibri" w:cs="Arial"/>
                <w:lang w:val="en-US"/>
              </w:rPr>
              <w:t>Can a Work Experience student do work experience on a weekend?</w:t>
            </w:r>
          </w:p>
          <w:p w14:paraId="23ADCE77" w14:textId="2CCF6B8A" w:rsidR="00E61BF6" w:rsidRPr="0045594D" w:rsidRDefault="00E61BF6" w:rsidP="003F3A0E">
            <w:pPr>
              <w:rPr>
                <w:rFonts w:ascii="Calibri" w:hAnsi="Calibri"/>
              </w:rPr>
            </w:pPr>
          </w:p>
        </w:tc>
        <w:tc>
          <w:tcPr>
            <w:tcW w:w="5802" w:type="dxa"/>
          </w:tcPr>
          <w:p w14:paraId="1C836640" w14:textId="7953EA3A" w:rsidR="00777C07" w:rsidRDefault="00777C07" w:rsidP="003F3A0E">
            <w:pPr>
              <w:rPr>
                <w:rFonts w:ascii="Calibri" w:hAnsi="Calibri"/>
                <w:color w:val="7030A0"/>
              </w:rPr>
            </w:pPr>
            <w:r w:rsidRPr="00BE1F1C">
              <w:rPr>
                <w:rFonts w:ascii="Calibri" w:hAnsi="Calibri"/>
                <w:color w:val="7030A0"/>
              </w:rPr>
              <w:t>Yes</w:t>
            </w:r>
            <w:r w:rsidR="00BE1F1C">
              <w:rPr>
                <w:rFonts w:ascii="Calibri" w:hAnsi="Calibri"/>
                <w:color w:val="7030A0"/>
              </w:rPr>
              <w:t>,</w:t>
            </w:r>
            <w:r w:rsidRPr="00BE1F1C">
              <w:rPr>
                <w:rFonts w:ascii="Calibri" w:hAnsi="Calibri"/>
                <w:color w:val="7030A0"/>
              </w:rPr>
              <w:t xml:space="preserve"> provided that weekend work ‘is an essential requirement of the industry’.  </w:t>
            </w:r>
            <w:r w:rsidR="00161071">
              <w:rPr>
                <w:rFonts w:ascii="Calibri" w:hAnsi="Calibri"/>
                <w:color w:val="7030A0"/>
              </w:rPr>
              <w:t>However, t</w:t>
            </w:r>
            <w:r w:rsidR="00BE1F1C">
              <w:rPr>
                <w:rFonts w:ascii="Calibri" w:hAnsi="Calibri"/>
                <w:color w:val="7030A0"/>
              </w:rPr>
              <w:t xml:space="preserve">here is no </w:t>
            </w:r>
            <w:r w:rsidR="00161071">
              <w:rPr>
                <w:rFonts w:ascii="Calibri" w:hAnsi="Calibri"/>
                <w:color w:val="7030A0"/>
              </w:rPr>
              <w:t xml:space="preserve">Department </w:t>
            </w:r>
            <w:r w:rsidR="00BE1F1C">
              <w:rPr>
                <w:rFonts w:ascii="Calibri" w:hAnsi="Calibri"/>
                <w:color w:val="7030A0"/>
              </w:rPr>
              <w:t xml:space="preserve">expectation that </w:t>
            </w:r>
            <w:r w:rsidR="00161071">
              <w:rPr>
                <w:rFonts w:ascii="Calibri" w:hAnsi="Calibri"/>
                <w:color w:val="7030A0"/>
              </w:rPr>
              <w:t>schools</w:t>
            </w:r>
            <w:r w:rsidR="00BE1F1C">
              <w:rPr>
                <w:rFonts w:ascii="Calibri" w:hAnsi="Calibri"/>
                <w:color w:val="7030A0"/>
              </w:rPr>
              <w:t xml:space="preserve"> are expected to approve work experience during or over a weekend.</w:t>
            </w:r>
          </w:p>
          <w:p w14:paraId="234DBEBD" w14:textId="77777777" w:rsidR="00161071" w:rsidRDefault="00161071" w:rsidP="003F3A0E">
            <w:pPr>
              <w:rPr>
                <w:rFonts w:ascii="Calibri" w:hAnsi="Calibri"/>
                <w:color w:val="7030A0"/>
              </w:rPr>
            </w:pPr>
          </w:p>
          <w:p w14:paraId="789B2250" w14:textId="72A67CE1" w:rsidR="00161071" w:rsidRDefault="00161071" w:rsidP="003F3A0E">
            <w:pPr>
              <w:rPr>
                <w:rFonts w:ascii="Calibri" w:hAnsi="Calibri"/>
                <w:color w:val="7030A0"/>
              </w:rPr>
            </w:pPr>
            <w:r w:rsidRPr="00BE1F1C">
              <w:rPr>
                <w:rFonts w:ascii="Calibri" w:hAnsi="Calibri"/>
                <w:color w:val="7030A0"/>
              </w:rPr>
              <w:t xml:space="preserve">If the school believes the student will gain increased benefit for their career planning or </w:t>
            </w:r>
            <w:r w:rsidR="00920C28">
              <w:rPr>
                <w:rFonts w:ascii="Calibri" w:hAnsi="Calibri"/>
                <w:color w:val="7030A0"/>
              </w:rPr>
              <w:t xml:space="preserve">post-school </w:t>
            </w:r>
            <w:r w:rsidRPr="00BE1F1C">
              <w:rPr>
                <w:rFonts w:ascii="Calibri" w:hAnsi="Calibri"/>
                <w:color w:val="7030A0"/>
              </w:rPr>
              <w:t>prospects that are not availa</w:t>
            </w:r>
            <w:r w:rsidR="00920C28">
              <w:rPr>
                <w:rFonts w:ascii="Calibri" w:hAnsi="Calibri"/>
                <w:color w:val="7030A0"/>
              </w:rPr>
              <w:t>ble to them during week-</w:t>
            </w:r>
            <w:r w:rsidRPr="00BE1F1C">
              <w:rPr>
                <w:rFonts w:ascii="Calibri" w:hAnsi="Calibri"/>
                <w:color w:val="7030A0"/>
              </w:rPr>
              <w:t>day operations, then the school can approve work experience on a weekend for students in Years 9-12.</w:t>
            </w:r>
          </w:p>
          <w:p w14:paraId="1C3944ED" w14:textId="77777777" w:rsidR="00161071" w:rsidRPr="00BE1F1C" w:rsidRDefault="00161071" w:rsidP="00161071">
            <w:pPr>
              <w:rPr>
                <w:rFonts w:ascii="Calibri" w:hAnsi="Calibri"/>
                <w:color w:val="7030A0"/>
              </w:rPr>
            </w:pPr>
          </w:p>
          <w:p w14:paraId="5C15F71C" w14:textId="77777777" w:rsidR="00161071" w:rsidRDefault="00161071" w:rsidP="00161071">
            <w:pPr>
              <w:rPr>
                <w:rFonts w:ascii="Calibri" w:hAnsi="Calibri"/>
                <w:color w:val="7030A0"/>
              </w:rPr>
            </w:pPr>
            <w:r w:rsidRPr="00BE1F1C">
              <w:rPr>
                <w:rFonts w:ascii="Calibri" w:hAnsi="Calibri"/>
                <w:color w:val="7030A0"/>
              </w:rPr>
              <w:t>Approval from the Principal should be obtained. This could be on a case by case basis or more generally depending on the views of the Principal.</w:t>
            </w:r>
          </w:p>
          <w:p w14:paraId="302E78FF" w14:textId="77777777" w:rsidR="00161071" w:rsidRPr="00BE1F1C" w:rsidRDefault="00161071" w:rsidP="003F3A0E">
            <w:pPr>
              <w:rPr>
                <w:rFonts w:ascii="Calibri" w:hAnsi="Calibri"/>
                <w:color w:val="7030A0"/>
              </w:rPr>
            </w:pPr>
          </w:p>
          <w:p w14:paraId="70D5E048" w14:textId="57C5BF57" w:rsidR="00837807" w:rsidRDefault="00837807" w:rsidP="003F3A0E">
            <w:pPr>
              <w:rPr>
                <w:rFonts w:ascii="Calibri" w:hAnsi="Calibri"/>
                <w:color w:val="7030A0"/>
              </w:rPr>
            </w:pPr>
            <w:r w:rsidRPr="00BE1F1C">
              <w:rPr>
                <w:rFonts w:ascii="Calibri" w:hAnsi="Calibri"/>
                <w:color w:val="7030A0"/>
              </w:rPr>
              <w:t xml:space="preserve">The usual arrangements for work experience </w:t>
            </w:r>
            <w:r w:rsidR="00BE1F1C" w:rsidRPr="00BE1F1C">
              <w:rPr>
                <w:rFonts w:ascii="Calibri" w:hAnsi="Calibri"/>
                <w:color w:val="7030A0"/>
              </w:rPr>
              <w:t xml:space="preserve">apply including provision of the emergency contact card and training in its use and </w:t>
            </w:r>
            <w:r w:rsidRPr="00BE1F1C">
              <w:rPr>
                <w:rFonts w:ascii="Calibri" w:hAnsi="Calibri"/>
                <w:color w:val="7030A0"/>
              </w:rPr>
              <w:t xml:space="preserve">a nominated contact from the school during the weekend part of the work experience. The parent/carer is the contact outside </w:t>
            </w:r>
            <w:r w:rsidR="00BE1F1C" w:rsidRPr="00BE1F1C">
              <w:rPr>
                <w:rFonts w:ascii="Calibri" w:hAnsi="Calibri"/>
                <w:color w:val="7030A0"/>
              </w:rPr>
              <w:t>‘</w:t>
            </w:r>
            <w:r w:rsidRPr="00BE1F1C">
              <w:rPr>
                <w:rFonts w:ascii="Calibri" w:hAnsi="Calibri"/>
                <w:color w:val="7030A0"/>
              </w:rPr>
              <w:t>normal business hours</w:t>
            </w:r>
            <w:r w:rsidR="00BE1F1C" w:rsidRPr="00BE1F1C">
              <w:rPr>
                <w:rFonts w:ascii="Calibri" w:hAnsi="Calibri"/>
                <w:color w:val="7030A0"/>
              </w:rPr>
              <w:t>’ on the weekend</w:t>
            </w:r>
            <w:r w:rsidRPr="00BE1F1C">
              <w:rPr>
                <w:rFonts w:ascii="Calibri" w:hAnsi="Calibri"/>
                <w:color w:val="7030A0"/>
              </w:rPr>
              <w:t xml:space="preserve">. Immediate follow up after the weekend work experience must </w:t>
            </w:r>
            <w:r w:rsidR="00BE1F1C" w:rsidRPr="00BE1F1C">
              <w:rPr>
                <w:rFonts w:ascii="Calibri" w:hAnsi="Calibri"/>
                <w:color w:val="7030A0"/>
              </w:rPr>
              <w:t>also be scheduled by the school.</w:t>
            </w:r>
          </w:p>
          <w:p w14:paraId="01E4917A" w14:textId="77777777" w:rsidR="00161071" w:rsidRPr="00BE1F1C" w:rsidRDefault="00161071" w:rsidP="003F3A0E">
            <w:pPr>
              <w:rPr>
                <w:rFonts w:ascii="Calibri" w:hAnsi="Calibri"/>
                <w:color w:val="7030A0"/>
              </w:rPr>
            </w:pPr>
          </w:p>
          <w:p w14:paraId="0FBAEC20" w14:textId="339D1F2D" w:rsidR="00BF4FF7" w:rsidRPr="00BE1F1C" w:rsidRDefault="00BF4FF7" w:rsidP="0017042C">
            <w:pPr>
              <w:rPr>
                <w:rFonts w:ascii="Calibri" w:hAnsi="Calibri"/>
                <w:color w:val="7030A0"/>
              </w:rPr>
            </w:pPr>
            <w:r w:rsidRPr="00BE1F1C">
              <w:rPr>
                <w:rFonts w:ascii="Calibri" w:hAnsi="Calibri"/>
                <w:color w:val="7030A0"/>
              </w:rPr>
              <w:t xml:space="preserve">Reference: WPL Procedures and Standards: </w:t>
            </w:r>
            <w:r w:rsidR="00BE1F1C" w:rsidRPr="00BE1F1C">
              <w:rPr>
                <w:rFonts w:ascii="Calibri" w:hAnsi="Calibri"/>
                <w:color w:val="7030A0"/>
              </w:rPr>
              <w:t xml:space="preserve">Section 1.2.1 </w:t>
            </w:r>
            <w:r w:rsidR="00BE1F1C" w:rsidRPr="00BE1F1C">
              <w:rPr>
                <w:rFonts w:ascii="Calibri" w:hAnsi="Calibri"/>
                <w:i/>
                <w:color w:val="7030A0"/>
              </w:rPr>
              <w:t>Scheduling of workplace learning.</w:t>
            </w:r>
          </w:p>
          <w:p w14:paraId="110148E4" w14:textId="77777777" w:rsidR="00BF4FF7" w:rsidRDefault="00BF4FF7" w:rsidP="0017042C">
            <w:pPr>
              <w:rPr>
                <w:rFonts w:ascii="Calibri" w:hAnsi="Calibri"/>
              </w:rPr>
            </w:pPr>
          </w:p>
          <w:p w14:paraId="04278B0E" w14:textId="17174926" w:rsidR="00BF4FF7" w:rsidRPr="0045594D" w:rsidRDefault="00BF4FF7" w:rsidP="0017042C">
            <w:pPr>
              <w:rPr>
                <w:rFonts w:ascii="Calibri" w:hAnsi="Calibri"/>
                <w:color w:val="C0504D" w:themeColor="accent2"/>
              </w:rPr>
            </w:pPr>
          </w:p>
        </w:tc>
      </w:tr>
      <w:tr w:rsidR="00E61BF6" w:rsidRPr="0045594D" w14:paraId="742A5D69" w14:textId="77777777" w:rsidTr="00F24541">
        <w:trPr>
          <w:trHeight w:val="5099"/>
        </w:trPr>
        <w:tc>
          <w:tcPr>
            <w:tcW w:w="4371" w:type="dxa"/>
          </w:tcPr>
          <w:p w14:paraId="49CC3820" w14:textId="7D5489D3" w:rsidR="00E61BF6" w:rsidRPr="0045594D" w:rsidRDefault="00E61BF6" w:rsidP="00E61BF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ahoma"/>
                <w:lang w:val="en-US"/>
              </w:rPr>
            </w:pPr>
            <w:r w:rsidRPr="0045594D">
              <w:rPr>
                <w:rFonts w:ascii="Calibri" w:hAnsi="Calibri" w:cs="Tahoma"/>
                <w:lang w:val="en-US"/>
              </w:rPr>
              <w:t>Confirm that year 11 and 12 are covered during the school holidays except the Christmas break. The way I read is that Year 10 are not covered except from 7:00am till 6:00pm during school days, but year 11 and year 12 can do work experience during school holidays if essential. Please confirm.</w:t>
            </w:r>
          </w:p>
          <w:p w14:paraId="3A91F945" w14:textId="77777777" w:rsidR="00E61BF6" w:rsidRPr="0045594D" w:rsidRDefault="00E61BF6" w:rsidP="003F3A0E">
            <w:pPr>
              <w:rPr>
                <w:rFonts w:ascii="Calibri" w:hAnsi="Calibri"/>
              </w:rPr>
            </w:pPr>
          </w:p>
        </w:tc>
        <w:tc>
          <w:tcPr>
            <w:tcW w:w="5802" w:type="dxa"/>
          </w:tcPr>
          <w:p w14:paraId="2F2CCD3B" w14:textId="11AAD8CF" w:rsidR="00EF0DBC" w:rsidRDefault="00161071" w:rsidP="0039275C">
            <w:pPr>
              <w:rPr>
                <w:rFonts w:ascii="Calibri" w:hAnsi="Calibri"/>
                <w:color w:val="7030A0"/>
              </w:rPr>
            </w:pPr>
            <w:r w:rsidRPr="00CA6A35">
              <w:rPr>
                <w:rFonts w:ascii="Calibri" w:hAnsi="Calibri"/>
                <w:color w:val="7030A0"/>
              </w:rPr>
              <w:t>Individual students in Years 11-12 can undertake workplace lea</w:t>
            </w:r>
            <w:r w:rsidR="00CA6A35">
              <w:rPr>
                <w:rFonts w:ascii="Calibri" w:hAnsi="Calibri"/>
                <w:color w:val="7030A0"/>
              </w:rPr>
              <w:t>r</w:t>
            </w:r>
            <w:r w:rsidRPr="00CA6A35">
              <w:rPr>
                <w:rFonts w:ascii="Calibri" w:hAnsi="Calibri"/>
                <w:color w:val="7030A0"/>
              </w:rPr>
              <w:t>ning during the holidays</w:t>
            </w:r>
            <w:r w:rsidR="00CA4C86">
              <w:rPr>
                <w:rFonts w:ascii="Calibri" w:hAnsi="Calibri"/>
                <w:color w:val="7030A0"/>
              </w:rPr>
              <w:t>, except the Xmas holidays</w:t>
            </w:r>
            <w:r w:rsidRPr="00CA6A35">
              <w:rPr>
                <w:rFonts w:ascii="Calibri" w:hAnsi="Calibri"/>
                <w:color w:val="7030A0"/>
              </w:rPr>
              <w:t>.</w:t>
            </w:r>
            <w:r w:rsidR="00CA6A35">
              <w:rPr>
                <w:rFonts w:ascii="Calibri" w:hAnsi="Calibri"/>
                <w:color w:val="7030A0"/>
              </w:rPr>
              <w:t xml:space="preserve"> This is on the basis that there are exceptional circumstances</w:t>
            </w:r>
            <w:r w:rsidR="0039275C">
              <w:rPr>
                <w:rFonts w:ascii="Calibri" w:hAnsi="Calibri"/>
                <w:color w:val="7030A0"/>
              </w:rPr>
              <w:t xml:space="preserve"> and that all parties are in agreement. </w:t>
            </w:r>
            <w:r w:rsidR="00EF0DBC">
              <w:rPr>
                <w:rFonts w:ascii="Calibri" w:hAnsi="Calibri"/>
                <w:color w:val="7030A0"/>
              </w:rPr>
              <w:t>These arrangements do not extend to students in Years 9-10.</w:t>
            </w:r>
          </w:p>
          <w:p w14:paraId="150C4E97" w14:textId="77777777" w:rsidR="002D039F" w:rsidRPr="00BE1F1C" w:rsidRDefault="002D039F" w:rsidP="002D039F">
            <w:pPr>
              <w:rPr>
                <w:rFonts w:ascii="Calibri" w:hAnsi="Calibri"/>
                <w:color w:val="7030A0"/>
              </w:rPr>
            </w:pPr>
            <w:r w:rsidRPr="00BE1F1C">
              <w:rPr>
                <w:rFonts w:ascii="Calibri" w:hAnsi="Calibri"/>
                <w:color w:val="7030A0"/>
              </w:rPr>
              <w:t xml:space="preserve">Reference: WPL Procedures and Standards: Section 1.2.1 </w:t>
            </w:r>
            <w:r w:rsidRPr="00BE1F1C">
              <w:rPr>
                <w:rFonts w:ascii="Calibri" w:hAnsi="Calibri"/>
                <w:i/>
                <w:color w:val="7030A0"/>
              </w:rPr>
              <w:t>Scheduling of workplace learning.</w:t>
            </w:r>
          </w:p>
          <w:p w14:paraId="3993DED0" w14:textId="77777777" w:rsidR="00EF0DBC" w:rsidRDefault="00EF0DBC" w:rsidP="0039275C">
            <w:pPr>
              <w:rPr>
                <w:rFonts w:ascii="Calibri" w:hAnsi="Calibri"/>
                <w:color w:val="7030A0"/>
              </w:rPr>
            </w:pPr>
          </w:p>
          <w:p w14:paraId="7F04A609" w14:textId="77777777" w:rsidR="009464E9" w:rsidRDefault="00EF0DBC" w:rsidP="0039275C">
            <w:pPr>
              <w:rPr>
                <w:rFonts w:ascii="Calibri" w:hAnsi="Calibri"/>
                <w:color w:val="7030A0"/>
              </w:rPr>
            </w:pPr>
            <w:r>
              <w:rPr>
                <w:rFonts w:ascii="Calibri" w:hAnsi="Calibri"/>
                <w:color w:val="7030A0"/>
              </w:rPr>
              <w:t>T</w:t>
            </w:r>
            <w:r w:rsidR="0039275C">
              <w:rPr>
                <w:rFonts w:ascii="Calibri" w:hAnsi="Calibri"/>
                <w:color w:val="7030A0"/>
              </w:rPr>
              <w:t xml:space="preserve">here is no expectation by the Department that schools are expected to approve workplace learning during a holiday period. </w:t>
            </w:r>
          </w:p>
          <w:p w14:paraId="15DC0665" w14:textId="77777777" w:rsidR="009464E9" w:rsidRDefault="009464E9" w:rsidP="0039275C">
            <w:pPr>
              <w:rPr>
                <w:rFonts w:ascii="Calibri" w:hAnsi="Calibri"/>
                <w:color w:val="7030A0"/>
              </w:rPr>
            </w:pPr>
          </w:p>
          <w:p w14:paraId="43CB2B73" w14:textId="142FAB62" w:rsidR="0039275C" w:rsidRDefault="00CE458E" w:rsidP="003F3A0E">
            <w:pPr>
              <w:rPr>
                <w:rFonts w:ascii="Calibri" w:hAnsi="Calibri"/>
                <w:color w:val="7030A0"/>
              </w:rPr>
            </w:pPr>
            <w:r>
              <w:rPr>
                <w:rFonts w:ascii="Calibri" w:hAnsi="Calibri"/>
                <w:color w:val="7030A0"/>
              </w:rPr>
              <w:t>Should a school decide to support an opportunity during the school holidays, all t</w:t>
            </w:r>
            <w:r w:rsidR="00CA4C86">
              <w:rPr>
                <w:rFonts w:ascii="Calibri" w:hAnsi="Calibri"/>
                <w:color w:val="7030A0"/>
              </w:rPr>
              <w:t>he Department’s procedures for workplace learning during term time apply during a</w:t>
            </w:r>
            <w:r>
              <w:rPr>
                <w:rFonts w:ascii="Calibri" w:hAnsi="Calibri"/>
                <w:color w:val="7030A0"/>
              </w:rPr>
              <w:t xml:space="preserve"> placement</w:t>
            </w:r>
            <w:r w:rsidR="00CA4C86">
              <w:rPr>
                <w:rFonts w:ascii="Calibri" w:hAnsi="Calibri"/>
                <w:color w:val="7030A0"/>
              </w:rPr>
              <w:t xml:space="preserve"> approved by the Principal to occur during the holidays.</w:t>
            </w:r>
            <w:r w:rsidR="009464E9">
              <w:rPr>
                <w:rFonts w:ascii="Calibri" w:hAnsi="Calibri"/>
                <w:color w:val="7030A0"/>
              </w:rPr>
              <w:t xml:space="preserve"> </w:t>
            </w:r>
            <w:r w:rsidR="005511F0">
              <w:rPr>
                <w:rFonts w:ascii="Calibri" w:hAnsi="Calibri"/>
                <w:color w:val="7030A0"/>
              </w:rPr>
              <w:t xml:space="preserve">The parent/carer is the contact after normal business hours during the holiday placement. </w:t>
            </w:r>
            <w:r w:rsidR="00161071" w:rsidRPr="00CA6A35">
              <w:rPr>
                <w:rFonts w:ascii="Calibri" w:hAnsi="Calibri"/>
                <w:color w:val="7030A0"/>
              </w:rPr>
              <w:t xml:space="preserve">The Department’s insurance and indemnity arrangements apply and there is no need to submit applications to the </w:t>
            </w:r>
            <w:r w:rsidR="00161071" w:rsidRPr="00CA6A35">
              <w:rPr>
                <w:rFonts w:ascii="Calibri" w:hAnsi="Calibri"/>
                <w:color w:val="7030A0"/>
              </w:rPr>
              <w:lastRenderedPageBreak/>
              <w:t>Senior Pathways Unit</w:t>
            </w:r>
            <w:r w:rsidR="00CA6A35">
              <w:rPr>
                <w:rFonts w:ascii="Calibri" w:hAnsi="Calibri"/>
                <w:color w:val="7030A0"/>
              </w:rPr>
              <w:t xml:space="preserve">. </w:t>
            </w:r>
            <w:r>
              <w:rPr>
                <w:rFonts w:ascii="Calibri" w:hAnsi="Calibri"/>
                <w:color w:val="7030A0"/>
              </w:rPr>
              <w:t xml:space="preserve"> Immediate post –placement follow up must be planned and undertaken after the placement and not left until school resumes.</w:t>
            </w:r>
          </w:p>
          <w:p w14:paraId="0A4F05F4" w14:textId="77777777" w:rsidR="00DD00FF" w:rsidRDefault="00DD00FF" w:rsidP="003F3A0E">
            <w:pPr>
              <w:rPr>
                <w:rFonts w:ascii="Calibri" w:hAnsi="Calibri"/>
                <w:color w:val="7030A0"/>
              </w:rPr>
            </w:pPr>
          </w:p>
          <w:p w14:paraId="14A418B7" w14:textId="4887B228" w:rsidR="00DD00FF" w:rsidRPr="009B78C6" w:rsidRDefault="00DD00FF" w:rsidP="003F3A0E">
            <w:pPr>
              <w:rPr>
                <w:rFonts w:ascii="Calibri" w:hAnsi="Calibri"/>
                <w:b/>
                <w:color w:val="7030A0"/>
              </w:rPr>
            </w:pPr>
            <w:r w:rsidRPr="009B78C6">
              <w:rPr>
                <w:rFonts w:ascii="Calibri" w:hAnsi="Calibri"/>
                <w:b/>
                <w:color w:val="7030A0"/>
              </w:rPr>
              <w:t xml:space="preserve">Workplace learning </w:t>
            </w:r>
            <w:r w:rsidR="009B78C6" w:rsidRPr="009B78C6">
              <w:rPr>
                <w:rFonts w:ascii="Calibri" w:hAnsi="Calibri"/>
                <w:b/>
                <w:color w:val="7030A0"/>
              </w:rPr>
              <w:t xml:space="preserve">for Year 12s </w:t>
            </w:r>
            <w:r w:rsidRPr="009B78C6">
              <w:rPr>
                <w:rFonts w:ascii="Calibri" w:hAnsi="Calibri"/>
                <w:b/>
                <w:color w:val="7030A0"/>
              </w:rPr>
              <w:t xml:space="preserve">during the </w:t>
            </w:r>
            <w:r w:rsidR="009B78C6" w:rsidRPr="009B78C6">
              <w:rPr>
                <w:rFonts w:ascii="Calibri" w:hAnsi="Calibri"/>
                <w:b/>
                <w:color w:val="7030A0"/>
              </w:rPr>
              <w:t>‘</w:t>
            </w:r>
            <w:r w:rsidRPr="009B78C6">
              <w:rPr>
                <w:rFonts w:ascii="Calibri" w:hAnsi="Calibri"/>
                <w:b/>
                <w:color w:val="7030A0"/>
              </w:rPr>
              <w:t>holid</w:t>
            </w:r>
            <w:r w:rsidR="009B78C6" w:rsidRPr="009B78C6">
              <w:rPr>
                <w:rFonts w:ascii="Calibri" w:hAnsi="Calibri"/>
                <w:b/>
                <w:color w:val="7030A0"/>
              </w:rPr>
              <w:t>ay period’</w:t>
            </w:r>
            <w:r w:rsidRPr="009B78C6">
              <w:rPr>
                <w:rFonts w:ascii="Calibri" w:hAnsi="Calibri"/>
                <w:b/>
                <w:color w:val="7030A0"/>
              </w:rPr>
              <w:t xml:space="preserve"> post the</w:t>
            </w:r>
            <w:r w:rsidR="009B78C6" w:rsidRPr="009B78C6">
              <w:rPr>
                <w:rFonts w:ascii="Calibri" w:hAnsi="Calibri"/>
                <w:b/>
                <w:color w:val="7030A0"/>
              </w:rPr>
              <w:t>ir</w:t>
            </w:r>
            <w:r w:rsidRPr="009B78C6">
              <w:rPr>
                <w:rFonts w:ascii="Calibri" w:hAnsi="Calibri"/>
                <w:b/>
                <w:color w:val="7030A0"/>
              </w:rPr>
              <w:t xml:space="preserve"> </w:t>
            </w:r>
            <w:r w:rsidR="009B78C6">
              <w:rPr>
                <w:rFonts w:ascii="Calibri" w:hAnsi="Calibri"/>
                <w:b/>
                <w:color w:val="7030A0"/>
              </w:rPr>
              <w:t xml:space="preserve">final </w:t>
            </w:r>
            <w:r w:rsidRPr="009B78C6">
              <w:rPr>
                <w:rFonts w:ascii="Calibri" w:hAnsi="Calibri"/>
                <w:b/>
                <w:color w:val="7030A0"/>
              </w:rPr>
              <w:t>HSC</w:t>
            </w:r>
            <w:r w:rsidR="009B78C6">
              <w:rPr>
                <w:rFonts w:ascii="Calibri" w:hAnsi="Calibri"/>
                <w:b/>
                <w:color w:val="7030A0"/>
              </w:rPr>
              <w:t xml:space="preserve"> exam</w:t>
            </w:r>
          </w:p>
          <w:p w14:paraId="247B6E8C" w14:textId="77777777" w:rsidR="009B78C6" w:rsidRDefault="009B78C6" w:rsidP="003F3A0E">
            <w:pPr>
              <w:rPr>
                <w:rFonts w:ascii="Calibri" w:hAnsi="Calibri"/>
                <w:color w:val="7030A0"/>
              </w:rPr>
            </w:pPr>
          </w:p>
          <w:p w14:paraId="4D1433F5" w14:textId="2D0F1BA4" w:rsidR="00DD00FF" w:rsidRDefault="009B78C6" w:rsidP="003F3A0E">
            <w:pPr>
              <w:rPr>
                <w:rFonts w:ascii="Calibri" w:hAnsi="Calibri"/>
                <w:color w:val="7030A0"/>
              </w:rPr>
            </w:pPr>
            <w:r>
              <w:rPr>
                <w:rFonts w:ascii="Calibri" w:hAnsi="Calibri"/>
                <w:color w:val="7030A0"/>
              </w:rPr>
              <w:t>Where a</w:t>
            </w:r>
            <w:r w:rsidR="009464E9">
              <w:rPr>
                <w:rFonts w:ascii="Calibri" w:hAnsi="Calibri"/>
                <w:color w:val="7030A0"/>
              </w:rPr>
              <w:t xml:space="preserve"> Y</w:t>
            </w:r>
            <w:r w:rsidR="00CA6A35">
              <w:rPr>
                <w:rFonts w:ascii="Calibri" w:hAnsi="Calibri"/>
                <w:color w:val="7030A0"/>
              </w:rPr>
              <w:t xml:space="preserve">ear 12 student asks beforehand to undertake workplace learning </w:t>
            </w:r>
            <w:r w:rsidR="00DD00FF">
              <w:rPr>
                <w:rFonts w:ascii="Calibri" w:hAnsi="Calibri"/>
                <w:color w:val="7030A0"/>
              </w:rPr>
              <w:t>or</w:t>
            </w:r>
            <w:r>
              <w:rPr>
                <w:rFonts w:ascii="Calibri" w:hAnsi="Calibri"/>
                <w:color w:val="7030A0"/>
              </w:rPr>
              <w:t xml:space="preserve"> in exceptional circumstances</w:t>
            </w:r>
            <w:r w:rsidR="00DD00FF">
              <w:rPr>
                <w:rFonts w:ascii="Calibri" w:hAnsi="Calibri"/>
                <w:color w:val="7030A0"/>
              </w:rPr>
              <w:t xml:space="preserve"> to complete their HSC VET work placement </w:t>
            </w:r>
            <w:r>
              <w:rPr>
                <w:rFonts w:ascii="Calibri" w:hAnsi="Calibri"/>
                <w:color w:val="7030A0"/>
              </w:rPr>
              <w:t>after their final HSC exam, a</w:t>
            </w:r>
            <w:r w:rsidR="00CA6A35">
              <w:rPr>
                <w:rFonts w:ascii="Calibri" w:hAnsi="Calibri"/>
                <w:color w:val="7030A0"/>
              </w:rPr>
              <w:t xml:space="preserve"> submission from the school must be submitted to the Senior Pathways Unit to support a request from the Unit for an extension of cover. The Unit </w:t>
            </w:r>
            <w:r w:rsidR="00CE458E">
              <w:rPr>
                <w:rFonts w:ascii="Calibri" w:hAnsi="Calibri"/>
                <w:color w:val="7030A0"/>
              </w:rPr>
              <w:t>i</w:t>
            </w:r>
            <w:r w:rsidR="00CE458E" w:rsidRPr="006554B8">
              <w:rPr>
                <w:rFonts w:ascii="Calibri" w:hAnsi="Calibri"/>
                <w:b/>
                <w:color w:val="7030A0"/>
              </w:rPr>
              <w:t xml:space="preserve">s </w:t>
            </w:r>
            <w:r w:rsidR="00CE458E">
              <w:rPr>
                <w:rFonts w:ascii="Calibri" w:hAnsi="Calibri"/>
                <w:color w:val="7030A0"/>
              </w:rPr>
              <w:t xml:space="preserve">happy to </w:t>
            </w:r>
            <w:r w:rsidR="00CA6A35">
              <w:rPr>
                <w:rFonts w:ascii="Calibri" w:hAnsi="Calibri"/>
                <w:color w:val="7030A0"/>
              </w:rPr>
              <w:t>be contacted on 9244 5834.</w:t>
            </w:r>
            <w:r w:rsidR="00DD00FF">
              <w:rPr>
                <w:rFonts w:ascii="Calibri" w:hAnsi="Calibri"/>
                <w:color w:val="7030A0"/>
              </w:rPr>
              <w:t xml:space="preserve"> </w:t>
            </w:r>
          </w:p>
          <w:p w14:paraId="51F4F7F1" w14:textId="77777777" w:rsidR="00DD00FF" w:rsidRDefault="00DD00FF" w:rsidP="003F3A0E">
            <w:pPr>
              <w:rPr>
                <w:rFonts w:ascii="Calibri" w:hAnsi="Calibri"/>
                <w:color w:val="7030A0"/>
              </w:rPr>
            </w:pPr>
          </w:p>
          <w:p w14:paraId="3C574ACB" w14:textId="694E25ED" w:rsidR="0017042C" w:rsidRDefault="00DD00FF" w:rsidP="003F3A0E">
            <w:pPr>
              <w:rPr>
                <w:rFonts w:ascii="Calibri" w:hAnsi="Calibri"/>
                <w:color w:val="7030A0"/>
              </w:rPr>
            </w:pPr>
            <w:r>
              <w:rPr>
                <w:rFonts w:ascii="Calibri" w:hAnsi="Calibri"/>
                <w:color w:val="7030A0"/>
              </w:rPr>
              <w:t>Under normal circumstances HSC VET work placements should be completed before that information must be submitted to the Board of Studies. Year 12 students must compl</w:t>
            </w:r>
            <w:r w:rsidR="009B78C6">
              <w:rPr>
                <w:rFonts w:ascii="Calibri" w:hAnsi="Calibri"/>
                <w:color w:val="7030A0"/>
              </w:rPr>
              <w:t>ete their mandatory work placeme</w:t>
            </w:r>
            <w:r>
              <w:rPr>
                <w:rFonts w:ascii="Calibri" w:hAnsi="Calibri"/>
                <w:color w:val="7030A0"/>
              </w:rPr>
              <w:t xml:space="preserve">nts before their final HSC exam.  </w:t>
            </w:r>
          </w:p>
          <w:p w14:paraId="03CE8EBF" w14:textId="77777777" w:rsidR="002D039F" w:rsidRDefault="002D039F" w:rsidP="003F3A0E">
            <w:pPr>
              <w:rPr>
                <w:rFonts w:ascii="Calibri" w:hAnsi="Calibri"/>
                <w:color w:val="7030A0"/>
              </w:rPr>
            </w:pPr>
          </w:p>
          <w:p w14:paraId="79200E3A" w14:textId="69E0647A" w:rsidR="002D039F" w:rsidRDefault="009B78C6" w:rsidP="003F3A0E">
            <w:pPr>
              <w:rPr>
                <w:rFonts w:ascii="Calibri" w:hAnsi="Calibri"/>
                <w:color w:val="7030A0"/>
              </w:rPr>
            </w:pPr>
            <w:r>
              <w:rPr>
                <w:rFonts w:ascii="Calibri" w:hAnsi="Calibri"/>
                <w:color w:val="7030A0"/>
              </w:rPr>
              <w:t>W</w:t>
            </w:r>
            <w:r w:rsidR="002D039F">
              <w:rPr>
                <w:rFonts w:ascii="Calibri" w:hAnsi="Calibri"/>
                <w:color w:val="7030A0"/>
              </w:rPr>
              <w:t>here students are undertaking a Life Skills pattern of study for the HSC</w:t>
            </w:r>
            <w:r>
              <w:rPr>
                <w:rFonts w:ascii="Calibri" w:hAnsi="Calibri"/>
                <w:color w:val="7030A0"/>
              </w:rPr>
              <w:t>,</w:t>
            </w:r>
            <w:r w:rsidR="002D039F">
              <w:rPr>
                <w:rFonts w:ascii="Calibri" w:hAnsi="Calibri"/>
                <w:color w:val="7030A0"/>
              </w:rPr>
              <w:t xml:space="preserve"> they may undertake workplace learning during Term 4 if they are enrolled to the end of the school year.</w:t>
            </w:r>
          </w:p>
          <w:p w14:paraId="01458AC7" w14:textId="77777777" w:rsidR="00CC7F7D" w:rsidRDefault="00CC7F7D" w:rsidP="002D039F">
            <w:pPr>
              <w:rPr>
                <w:rFonts w:ascii="Calibri" w:hAnsi="Calibri"/>
                <w:color w:val="7030A0"/>
              </w:rPr>
            </w:pPr>
            <w:r>
              <w:rPr>
                <w:rFonts w:ascii="Calibri" w:hAnsi="Calibri"/>
                <w:color w:val="7030A0"/>
              </w:rPr>
              <w:t>Reference:</w:t>
            </w:r>
            <w:r w:rsidRPr="00BC3DB9">
              <w:rPr>
                <w:rFonts w:ascii="Calibri" w:hAnsi="Calibri"/>
                <w:color w:val="7030A0"/>
              </w:rPr>
              <w:t xml:space="preserve"> </w:t>
            </w:r>
            <w:r w:rsidR="002D039F">
              <w:rPr>
                <w:rFonts w:ascii="Calibri" w:hAnsi="Calibri"/>
                <w:color w:val="7030A0"/>
              </w:rPr>
              <w:t>WPL Procedures and Standards: Section 1.2.2</w:t>
            </w:r>
          </w:p>
          <w:p w14:paraId="4DB00130" w14:textId="295E43C2" w:rsidR="00DD00FF" w:rsidRPr="006554B8" w:rsidRDefault="00DD00FF" w:rsidP="002D039F">
            <w:pPr>
              <w:rPr>
                <w:rFonts w:ascii="Calibri" w:hAnsi="Calibri"/>
                <w:color w:val="7030A0"/>
              </w:rPr>
            </w:pPr>
          </w:p>
        </w:tc>
      </w:tr>
      <w:tr w:rsidR="00E61BF6" w:rsidRPr="0045594D" w14:paraId="24C72F75" w14:textId="77777777" w:rsidTr="0045594D">
        <w:trPr>
          <w:trHeight w:val="2549"/>
        </w:trPr>
        <w:tc>
          <w:tcPr>
            <w:tcW w:w="4371" w:type="dxa"/>
          </w:tcPr>
          <w:p w14:paraId="184E7038" w14:textId="2E4CB592" w:rsidR="00E61BF6" w:rsidRPr="0045594D" w:rsidRDefault="00E61BF6" w:rsidP="003F3A0E">
            <w:pPr>
              <w:rPr>
                <w:rFonts w:ascii="Calibri" w:hAnsi="Calibri"/>
              </w:rPr>
            </w:pPr>
            <w:r w:rsidRPr="0045594D">
              <w:rPr>
                <w:rFonts w:ascii="Calibri" w:hAnsi="Calibri" w:cs="Tahoma"/>
                <w:lang w:val="en-US"/>
              </w:rPr>
              <w:lastRenderedPageBreak/>
              <w:t>There was a lot of angst about risk assessments 'for every placement', as one principal wanted.</w:t>
            </w:r>
          </w:p>
        </w:tc>
        <w:tc>
          <w:tcPr>
            <w:tcW w:w="5802" w:type="dxa"/>
          </w:tcPr>
          <w:p w14:paraId="6A3A5C82" w14:textId="551182A7" w:rsidR="007C5969" w:rsidRDefault="007C5969" w:rsidP="007C5969">
            <w:pPr>
              <w:rPr>
                <w:rFonts w:ascii="Calibri" w:hAnsi="Calibri"/>
                <w:color w:val="7030A0"/>
              </w:rPr>
            </w:pPr>
            <w:r w:rsidRPr="007C5969">
              <w:rPr>
                <w:rFonts w:ascii="Calibri" w:hAnsi="Calibri"/>
                <w:color w:val="7030A0"/>
              </w:rPr>
              <w:t>Schools are not required to undertake a risk assessment for every placement.</w:t>
            </w:r>
            <w:r>
              <w:rPr>
                <w:rFonts w:ascii="Calibri" w:hAnsi="Calibri"/>
                <w:color w:val="7030A0"/>
              </w:rPr>
              <w:t xml:space="preserve"> </w:t>
            </w:r>
            <w:r w:rsidR="00FA05E9">
              <w:rPr>
                <w:rFonts w:ascii="Calibri" w:hAnsi="Calibri"/>
                <w:color w:val="7030A0"/>
              </w:rPr>
              <w:t xml:space="preserve">Host employers risk </w:t>
            </w:r>
            <w:r>
              <w:rPr>
                <w:rFonts w:ascii="Calibri" w:hAnsi="Calibri"/>
                <w:color w:val="7030A0"/>
              </w:rPr>
              <w:t>assess the activities students will be undertaking by way of their conscientious responses on the Student Placement Record. Ask for more information if needed.</w:t>
            </w:r>
            <w:r w:rsidR="004B05C9">
              <w:rPr>
                <w:rFonts w:ascii="Calibri" w:hAnsi="Calibri"/>
                <w:color w:val="7030A0"/>
              </w:rPr>
              <w:t xml:space="preserve"> They also make a number of important declarations on that Record about supporting student safety and wellbeing in their workplace.</w:t>
            </w:r>
          </w:p>
          <w:p w14:paraId="40BFBF48" w14:textId="0A5AAD44" w:rsidR="007C5969" w:rsidRDefault="007C5969" w:rsidP="003F3A0E">
            <w:pPr>
              <w:rPr>
                <w:rFonts w:ascii="Calibri" w:hAnsi="Calibri"/>
                <w:color w:val="7030A0"/>
              </w:rPr>
            </w:pPr>
            <w:r>
              <w:rPr>
                <w:rFonts w:ascii="Calibri" w:hAnsi="Calibri"/>
                <w:color w:val="7030A0"/>
              </w:rPr>
              <w:t xml:space="preserve">Concurrently, schools must exercise the required duty of care for their students (see Procedures and Standards, Section 1.4.5ff). Together, the host employer’s responses </w:t>
            </w:r>
            <w:r w:rsidR="004B05C9">
              <w:rPr>
                <w:rFonts w:ascii="Calibri" w:hAnsi="Calibri"/>
                <w:color w:val="7030A0"/>
              </w:rPr>
              <w:t xml:space="preserve">and declarations </w:t>
            </w:r>
            <w:r>
              <w:rPr>
                <w:rFonts w:ascii="Calibri" w:hAnsi="Calibri"/>
                <w:color w:val="7030A0"/>
              </w:rPr>
              <w:t xml:space="preserve">and the </w:t>
            </w:r>
            <w:r w:rsidR="00FA05E9">
              <w:rPr>
                <w:rFonts w:ascii="Calibri" w:hAnsi="Calibri"/>
                <w:color w:val="7030A0"/>
              </w:rPr>
              <w:t>Department</w:t>
            </w:r>
            <w:r w:rsidR="004B05C9">
              <w:rPr>
                <w:rFonts w:ascii="Calibri" w:hAnsi="Calibri"/>
                <w:color w:val="7030A0"/>
              </w:rPr>
              <w:t>’</w:t>
            </w:r>
            <w:r w:rsidR="00FA05E9">
              <w:rPr>
                <w:rFonts w:ascii="Calibri" w:hAnsi="Calibri"/>
                <w:color w:val="7030A0"/>
              </w:rPr>
              <w:t xml:space="preserve">s duty of care </w:t>
            </w:r>
            <w:r>
              <w:rPr>
                <w:rFonts w:ascii="Calibri" w:hAnsi="Calibri"/>
                <w:color w:val="7030A0"/>
              </w:rPr>
              <w:t xml:space="preserve">procedures </w:t>
            </w:r>
            <w:r w:rsidR="00FA05E9">
              <w:rPr>
                <w:rFonts w:ascii="Calibri" w:hAnsi="Calibri"/>
                <w:color w:val="7030A0"/>
              </w:rPr>
              <w:t xml:space="preserve">work </w:t>
            </w:r>
            <w:r>
              <w:rPr>
                <w:rFonts w:ascii="Calibri" w:hAnsi="Calibri"/>
                <w:color w:val="7030A0"/>
              </w:rPr>
              <w:t>to minimise risks to students. In terms of WHS, this is ‘as far as is reasonably practicable’.  See WPL Policy</w:t>
            </w:r>
            <w:r w:rsidR="00FA05E9">
              <w:rPr>
                <w:rFonts w:ascii="Calibri" w:hAnsi="Calibri"/>
                <w:color w:val="7030A0"/>
              </w:rPr>
              <w:t>:</w:t>
            </w:r>
            <w:r>
              <w:rPr>
                <w:rFonts w:ascii="Calibri" w:hAnsi="Calibri"/>
                <w:color w:val="7030A0"/>
              </w:rPr>
              <w:t xml:space="preserve"> Sections 1.3 and 1.4</w:t>
            </w:r>
            <w:r w:rsidR="00FA05E9">
              <w:rPr>
                <w:rFonts w:ascii="Calibri" w:hAnsi="Calibri"/>
                <w:color w:val="7030A0"/>
              </w:rPr>
              <w:t>.</w:t>
            </w:r>
          </w:p>
          <w:p w14:paraId="1433DD8D" w14:textId="2F5E2D0D" w:rsidR="0017042C" w:rsidRPr="004B05C9" w:rsidRDefault="00FA05E9" w:rsidP="002D039F">
            <w:pPr>
              <w:rPr>
                <w:rFonts w:ascii="Calibri" w:hAnsi="Calibri"/>
                <w:color w:val="7030A0"/>
              </w:rPr>
            </w:pPr>
            <w:r>
              <w:rPr>
                <w:rFonts w:ascii="Calibri" w:hAnsi="Calibri"/>
                <w:color w:val="7030A0"/>
              </w:rPr>
              <w:t>For proposed work</w:t>
            </w:r>
            <w:r w:rsidR="004B05C9">
              <w:rPr>
                <w:rFonts w:ascii="Calibri" w:hAnsi="Calibri"/>
                <w:color w:val="7030A0"/>
              </w:rPr>
              <w:t>place learning</w:t>
            </w:r>
            <w:r>
              <w:rPr>
                <w:rFonts w:ascii="Calibri" w:hAnsi="Calibri"/>
                <w:color w:val="7030A0"/>
              </w:rPr>
              <w:t xml:space="preserve"> placements, especially if they are new to the school or pose potential risks to the student, follow the procedures in WPL Procedures and Standards</w:t>
            </w:r>
            <w:r w:rsidR="002D039F">
              <w:rPr>
                <w:rFonts w:ascii="Calibri" w:hAnsi="Calibri"/>
                <w:color w:val="7030A0"/>
              </w:rPr>
              <w:t xml:space="preserve"> in sections 1.4.2-.1.4.3</w:t>
            </w:r>
            <w:r>
              <w:rPr>
                <w:rFonts w:ascii="Calibri" w:hAnsi="Calibri"/>
                <w:color w:val="7030A0"/>
              </w:rPr>
              <w:t xml:space="preserve">. Where resources are stretched, focus on where the most risk lies in terms of the </w:t>
            </w:r>
            <w:r w:rsidR="004B05C9">
              <w:rPr>
                <w:rFonts w:ascii="Calibri" w:hAnsi="Calibri"/>
                <w:color w:val="7030A0"/>
              </w:rPr>
              <w:t xml:space="preserve">particular student and their needs, the experience of an employer in hosting students, the placement activities and the context of the placement eg proposed overnight accommodation, split shifts. </w:t>
            </w:r>
            <w:r w:rsidR="0017042C" w:rsidRPr="0045594D">
              <w:rPr>
                <w:rFonts w:ascii="Calibri" w:hAnsi="Calibri"/>
                <w:color w:val="C0504D" w:themeColor="accent2"/>
              </w:rPr>
              <w:t>For work experience programs</w:t>
            </w:r>
            <w:r w:rsidR="00092133">
              <w:rPr>
                <w:rFonts w:ascii="Calibri" w:hAnsi="Calibri"/>
                <w:color w:val="C0504D" w:themeColor="accent2"/>
              </w:rPr>
              <w:t>,</w:t>
            </w:r>
            <w:r w:rsidR="0017042C" w:rsidRPr="0045594D">
              <w:rPr>
                <w:rFonts w:ascii="Calibri" w:hAnsi="Calibri"/>
                <w:color w:val="C0504D" w:themeColor="accent2"/>
              </w:rPr>
              <w:t xml:space="preserve"> schools should be making phone </w:t>
            </w:r>
            <w:r w:rsidR="0017042C" w:rsidRPr="0045594D">
              <w:rPr>
                <w:rFonts w:ascii="Calibri" w:hAnsi="Calibri"/>
                <w:color w:val="C0504D" w:themeColor="accent2"/>
              </w:rPr>
              <w:lastRenderedPageBreak/>
              <w:t xml:space="preserve">contact with employers to ensure that the employers are aware of their responsibility to </w:t>
            </w:r>
            <w:r w:rsidR="004B05C9">
              <w:rPr>
                <w:rFonts w:ascii="Calibri" w:hAnsi="Calibri"/>
                <w:color w:val="C0504D" w:themeColor="accent2"/>
              </w:rPr>
              <w:t xml:space="preserve">provide </w:t>
            </w:r>
            <w:r w:rsidR="0017042C" w:rsidRPr="0045594D">
              <w:rPr>
                <w:rFonts w:ascii="Calibri" w:hAnsi="Calibri"/>
                <w:color w:val="C0504D" w:themeColor="accent2"/>
              </w:rPr>
              <w:t>a sa</w:t>
            </w:r>
            <w:r w:rsidR="004B05C9">
              <w:rPr>
                <w:rFonts w:ascii="Calibri" w:hAnsi="Calibri"/>
                <w:color w:val="C0504D" w:themeColor="accent2"/>
              </w:rPr>
              <w:t xml:space="preserve">fe environment for the students </w:t>
            </w:r>
            <w:r w:rsidR="004B05C9" w:rsidRPr="00092133">
              <w:rPr>
                <w:rFonts w:ascii="Calibri" w:hAnsi="Calibri"/>
                <w:color w:val="7030A0"/>
              </w:rPr>
              <w:t xml:space="preserve">and suitable activities. </w:t>
            </w:r>
            <w:r w:rsidR="00E5407F" w:rsidRPr="00092133">
              <w:rPr>
                <w:rFonts w:ascii="Calibri" w:hAnsi="Calibri"/>
                <w:color w:val="7030A0"/>
              </w:rPr>
              <w:t xml:space="preserve">See Section 5 ‘Providing a Safe Workplace’ in </w:t>
            </w:r>
            <w:r w:rsidR="00E5407F" w:rsidRPr="00092133">
              <w:rPr>
                <w:rFonts w:ascii="Calibri" w:hAnsi="Calibri"/>
                <w:i/>
                <w:color w:val="7030A0"/>
              </w:rPr>
              <w:t xml:space="preserve">The Workplace </w:t>
            </w:r>
            <w:r w:rsidR="00E5407F" w:rsidRPr="009B78C6">
              <w:rPr>
                <w:rFonts w:ascii="Calibri" w:hAnsi="Calibri"/>
                <w:i/>
                <w:color w:val="7030A0"/>
              </w:rPr>
              <w:t>Learning Guide for</w:t>
            </w:r>
            <w:r w:rsidR="0017042C" w:rsidRPr="009B78C6">
              <w:rPr>
                <w:rFonts w:ascii="Calibri" w:hAnsi="Calibri"/>
                <w:i/>
                <w:color w:val="7030A0"/>
              </w:rPr>
              <w:t xml:space="preserve"> </w:t>
            </w:r>
            <w:r w:rsidR="00E5407F" w:rsidRPr="009B78C6">
              <w:rPr>
                <w:rFonts w:ascii="Calibri" w:hAnsi="Calibri"/>
                <w:i/>
                <w:color w:val="7030A0"/>
              </w:rPr>
              <w:t>Employers.</w:t>
            </w:r>
            <w:r w:rsidR="00E5407F" w:rsidRPr="00092133">
              <w:rPr>
                <w:rFonts w:ascii="Calibri" w:hAnsi="Calibri"/>
                <w:color w:val="7030A0"/>
              </w:rPr>
              <w:t xml:space="preserve"> </w:t>
            </w:r>
          </w:p>
        </w:tc>
      </w:tr>
      <w:tr w:rsidR="00F24541" w:rsidRPr="0045594D" w14:paraId="2C0279DB" w14:textId="77777777" w:rsidTr="0045594D">
        <w:trPr>
          <w:trHeight w:val="2549"/>
        </w:trPr>
        <w:tc>
          <w:tcPr>
            <w:tcW w:w="4371" w:type="dxa"/>
          </w:tcPr>
          <w:p w14:paraId="14C74D83" w14:textId="640301C0" w:rsidR="00F24541" w:rsidRPr="0045594D" w:rsidRDefault="00F24541" w:rsidP="003F3A0E">
            <w:pPr>
              <w:rPr>
                <w:rFonts w:ascii="Calibri" w:hAnsi="Calibri" w:cs="Tahoma"/>
                <w:lang w:val="en-US"/>
              </w:rPr>
            </w:pPr>
            <w:r>
              <w:rPr>
                <w:rFonts w:ascii="Calibri" w:hAnsi="Calibri" w:cs="Tahoma"/>
                <w:lang w:val="en-US"/>
              </w:rPr>
              <w:lastRenderedPageBreak/>
              <w:t>What are the hours available for work experience? How does this vary for different age groups?</w:t>
            </w:r>
          </w:p>
        </w:tc>
        <w:tc>
          <w:tcPr>
            <w:tcW w:w="5802" w:type="dxa"/>
          </w:tcPr>
          <w:p w14:paraId="598B84C0" w14:textId="5313633C" w:rsidR="00092133" w:rsidRDefault="00092133" w:rsidP="00092133">
            <w:pPr>
              <w:rPr>
                <w:rFonts w:ascii="Calibri" w:hAnsi="Calibri"/>
                <w:color w:val="7030A0"/>
              </w:rPr>
            </w:pPr>
            <w:r>
              <w:rPr>
                <w:rFonts w:ascii="Calibri" w:hAnsi="Calibri"/>
                <w:color w:val="7030A0"/>
              </w:rPr>
              <w:t>Traditionally the hours for workplace learning are weekday normal business hours during term time. However, as so many businesses operate outside 8/8.30-5/5.30, there is cover for a broader range of hours if required. The nominated contact outside normal business hours is the student’s parent or carer or suitable person they nominate</w:t>
            </w:r>
            <w:r w:rsidR="00EE491E">
              <w:rPr>
                <w:rFonts w:ascii="Calibri" w:hAnsi="Calibri"/>
                <w:color w:val="7030A0"/>
              </w:rPr>
              <w:t xml:space="preserve"> -</w:t>
            </w:r>
            <w:r>
              <w:rPr>
                <w:rFonts w:ascii="Calibri" w:hAnsi="Calibri"/>
                <w:color w:val="7030A0"/>
              </w:rPr>
              <w:t xml:space="preserve"> and agreed to by the school.  </w:t>
            </w:r>
          </w:p>
          <w:p w14:paraId="4C34EB86" w14:textId="6DF1E7F2" w:rsidR="00092133" w:rsidRDefault="002D039F" w:rsidP="00092133">
            <w:pPr>
              <w:rPr>
                <w:rFonts w:ascii="Calibri" w:hAnsi="Calibri"/>
                <w:color w:val="7030A0"/>
              </w:rPr>
            </w:pPr>
            <w:r>
              <w:rPr>
                <w:rFonts w:ascii="Calibri" w:hAnsi="Calibri"/>
                <w:color w:val="7030A0"/>
              </w:rPr>
              <w:t>The only exception is</w:t>
            </w:r>
            <w:r w:rsidR="00092133">
              <w:rPr>
                <w:rFonts w:ascii="Calibri" w:hAnsi="Calibri"/>
                <w:color w:val="7030A0"/>
              </w:rPr>
              <w:t xml:space="preserve"> students aged 14 and they must not wo</w:t>
            </w:r>
            <w:r>
              <w:rPr>
                <w:rFonts w:ascii="Calibri" w:hAnsi="Calibri"/>
                <w:color w:val="7030A0"/>
              </w:rPr>
              <w:t xml:space="preserve">rk before 7am or after 6pm. See </w:t>
            </w:r>
            <w:r w:rsidRPr="00BE1F1C">
              <w:rPr>
                <w:rFonts w:ascii="Calibri" w:hAnsi="Calibri"/>
                <w:color w:val="7030A0"/>
              </w:rPr>
              <w:t xml:space="preserve">WPL Procedures and Standards: Section 1.2.1 </w:t>
            </w:r>
            <w:r w:rsidRPr="00BE1F1C">
              <w:rPr>
                <w:rFonts w:ascii="Calibri" w:hAnsi="Calibri"/>
                <w:i/>
                <w:color w:val="7030A0"/>
              </w:rPr>
              <w:t>Scheduling of workplace learning.</w:t>
            </w:r>
          </w:p>
          <w:p w14:paraId="0894747D" w14:textId="32A16758" w:rsidR="00092133" w:rsidRDefault="00092133" w:rsidP="00092133">
            <w:pPr>
              <w:rPr>
                <w:rFonts w:ascii="Calibri" w:hAnsi="Calibri"/>
                <w:color w:val="7030A0"/>
              </w:rPr>
            </w:pPr>
            <w:r>
              <w:rPr>
                <w:rFonts w:ascii="Calibri" w:hAnsi="Calibri"/>
                <w:color w:val="7030A0"/>
              </w:rPr>
              <w:t>Where a student aged 15 or over requests</w:t>
            </w:r>
            <w:r w:rsidR="00EE491E">
              <w:rPr>
                <w:rFonts w:ascii="Calibri" w:hAnsi="Calibri"/>
                <w:color w:val="7030A0"/>
              </w:rPr>
              <w:t xml:space="preserve"> an early start</w:t>
            </w:r>
            <w:r>
              <w:rPr>
                <w:rFonts w:ascii="Calibri" w:hAnsi="Calibri"/>
                <w:color w:val="7030A0"/>
              </w:rPr>
              <w:t xml:space="preserve">, for example, in a bakery, the </w:t>
            </w:r>
            <w:r w:rsidR="00EE491E">
              <w:rPr>
                <w:rFonts w:ascii="Calibri" w:hAnsi="Calibri"/>
                <w:color w:val="7030A0"/>
              </w:rPr>
              <w:t>Principal needs to be</w:t>
            </w:r>
            <w:r w:rsidR="001D3DC1">
              <w:rPr>
                <w:rFonts w:ascii="Calibri" w:hAnsi="Calibri"/>
                <w:color w:val="7030A0"/>
              </w:rPr>
              <w:t xml:space="preserve"> consulted</w:t>
            </w:r>
            <w:r w:rsidR="00EE491E">
              <w:rPr>
                <w:rFonts w:ascii="Calibri" w:hAnsi="Calibri"/>
                <w:color w:val="7030A0"/>
              </w:rPr>
              <w:t xml:space="preserve">. The </w:t>
            </w:r>
            <w:r>
              <w:rPr>
                <w:rFonts w:ascii="Calibri" w:hAnsi="Calibri"/>
                <w:color w:val="7030A0"/>
              </w:rPr>
              <w:t>school needs to weigh up the benefits and ensure that they have identified</w:t>
            </w:r>
            <w:r w:rsidR="00EE491E">
              <w:rPr>
                <w:rFonts w:ascii="Calibri" w:hAnsi="Calibri"/>
                <w:color w:val="7030A0"/>
              </w:rPr>
              <w:t xml:space="preserve"> the</w:t>
            </w:r>
            <w:r>
              <w:rPr>
                <w:rFonts w:ascii="Calibri" w:hAnsi="Calibri"/>
                <w:color w:val="7030A0"/>
              </w:rPr>
              <w:t xml:space="preserve"> risk factors</w:t>
            </w:r>
            <w:r w:rsidR="00EE491E">
              <w:rPr>
                <w:rFonts w:ascii="Calibri" w:hAnsi="Calibri"/>
                <w:color w:val="7030A0"/>
              </w:rPr>
              <w:t xml:space="preserve"> and how they will be well managed eg travel; type of student activities; what the student will do after their placement finishes in the morning; and who will then be responsible for the student. This needs to be documented and agreed to by the parent/carer. </w:t>
            </w:r>
          </w:p>
          <w:p w14:paraId="3CF55D20" w14:textId="0D08E447" w:rsidR="00F24541" w:rsidRPr="00092133" w:rsidRDefault="00E2587A" w:rsidP="000E1A84">
            <w:pPr>
              <w:rPr>
                <w:rFonts w:ascii="Calibri" w:hAnsi="Calibri"/>
                <w:color w:val="7030A0"/>
              </w:rPr>
            </w:pPr>
            <w:r>
              <w:rPr>
                <w:rFonts w:ascii="Calibri" w:hAnsi="Calibri"/>
                <w:color w:val="7030A0"/>
              </w:rPr>
              <w:t>Similarly, split shifts are covered</w:t>
            </w:r>
            <w:r w:rsidR="000E1A84">
              <w:rPr>
                <w:rFonts w:ascii="Calibri" w:hAnsi="Calibri"/>
                <w:color w:val="7030A0"/>
              </w:rPr>
              <w:t xml:space="preserve"> by DEC insurance and indemnity arrangements </w:t>
            </w:r>
            <w:r>
              <w:rPr>
                <w:rFonts w:ascii="Calibri" w:hAnsi="Calibri"/>
                <w:color w:val="7030A0"/>
              </w:rPr>
              <w:t>but preparation of students must include potential risk factors</w:t>
            </w:r>
            <w:r w:rsidR="00824125">
              <w:rPr>
                <w:rFonts w:ascii="Calibri" w:hAnsi="Calibri"/>
                <w:color w:val="7030A0"/>
              </w:rPr>
              <w:t xml:space="preserve"> such as travel</w:t>
            </w:r>
            <w:r w:rsidR="000E1A84">
              <w:rPr>
                <w:rFonts w:ascii="Calibri" w:hAnsi="Calibri"/>
                <w:color w:val="7030A0"/>
              </w:rPr>
              <w:t>ling home at night</w:t>
            </w:r>
            <w:r w:rsidR="00824125">
              <w:rPr>
                <w:rFonts w:ascii="Calibri" w:hAnsi="Calibri"/>
                <w:color w:val="7030A0"/>
              </w:rPr>
              <w:t xml:space="preserve">, </w:t>
            </w:r>
            <w:r>
              <w:rPr>
                <w:rFonts w:ascii="Calibri" w:hAnsi="Calibri"/>
                <w:color w:val="7030A0"/>
              </w:rPr>
              <w:t xml:space="preserve">and how those </w:t>
            </w:r>
            <w:r w:rsidR="000E1A84">
              <w:rPr>
                <w:rFonts w:ascii="Calibri" w:hAnsi="Calibri"/>
                <w:color w:val="7030A0"/>
              </w:rPr>
              <w:t xml:space="preserve">factors </w:t>
            </w:r>
            <w:r>
              <w:rPr>
                <w:rFonts w:ascii="Calibri" w:hAnsi="Calibri"/>
                <w:color w:val="7030A0"/>
              </w:rPr>
              <w:t>will be managed.</w:t>
            </w:r>
            <w:r w:rsidR="00824125">
              <w:rPr>
                <w:rFonts w:ascii="Calibri" w:hAnsi="Calibri"/>
                <w:color w:val="7030A0"/>
              </w:rPr>
              <w:t xml:space="preserve"> The school needs to be clear about who is providing supervisory contact with the student </w:t>
            </w:r>
            <w:r w:rsidR="000E1A84">
              <w:rPr>
                <w:rFonts w:ascii="Calibri" w:hAnsi="Calibri"/>
                <w:color w:val="7030A0"/>
              </w:rPr>
              <w:t>between shifts, and where and what the student will be doing between shifts if they are not able to return to school.</w:t>
            </w:r>
            <w:r w:rsidR="00824125">
              <w:rPr>
                <w:rFonts w:ascii="Calibri" w:hAnsi="Calibri"/>
                <w:color w:val="7030A0"/>
              </w:rPr>
              <w:t xml:space="preserve"> </w:t>
            </w:r>
            <w:r w:rsidR="000E1A84">
              <w:rPr>
                <w:rFonts w:ascii="Calibri" w:hAnsi="Calibri"/>
                <w:color w:val="7030A0"/>
              </w:rPr>
              <w:t>The arrangements should be documented.</w:t>
            </w:r>
          </w:p>
        </w:tc>
      </w:tr>
    </w:tbl>
    <w:p w14:paraId="08746F0D" w14:textId="1D2704D8" w:rsidR="00E61BF6" w:rsidRDefault="00E61BF6" w:rsidP="003F3A0E"/>
    <w:sectPr w:rsidR="00E61BF6" w:rsidSect="0045594D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A0E"/>
    <w:rsid w:val="00092133"/>
    <w:rsid w:val="000E1A84"/>
    <w:rsid w:val="00105821"/>
    <w:rsid w:val="00161071"/>
    <w:rsid w:val="0017042C"/>
    <w:rsid w:val="001D3DC1"/>
    <w:rsid w:val="002D039F"/>
    <w:rsid w:val="0039275C"/>
    <w:rsid w:val="003F3A0E"/>
    <w:rsid w:val="0045594D"/>
    <w:rsid w:val="004B05C9"/>
    <w:rsid w:val="004B5FC7"/>
    <w:rsid w:val="005511F0"/>
    <w:rsid w:val="00596CAA"/>
    <w:rsid w:val="006554B8"/>
    <w:rsid w:val="006F08DD"/>
    <w:rsid w:val="00777C07"/>
    <w:rsid w:val="007C5969"/>
    <w:rsid w:val="00824125"/>
    <w:rsid w:val="00837807"/>
    <w:rsid w:val="00920C28"/>
    <w:rsid w:val="009464E9"/>
    <w:rsid w:val="009B78C6"/>
    <w:rsid w:val="00A624FA"/>
    <w:rsid w:val="00B961A7"/>
    <w:rsid w:val="00BC3DB9"/>
    <w:rsid w:val="00BE1F1C"/>
    <w:rsid w:val="00BF4FF7"/>
    <w:rsid w:val="00CA4C86"/>
    <w:rsid w:val="00CA6A35"/>
    <w:rsid w:val="00CC7F7D"/>
    <w:rsid w:val="00CE458E"/>
    <w:rsid w:val="00DD00FF"/>
    <w:rsid w:val="00E2587A"/>
    <w:rsid w:val="00E5407F"/>
    <w:rsid w:val="00E61BF6"/>
    <w:rsid w:val="00ED263E"/>
    <w:rsid w:val="00EE491E"/>
    <w:rsid w:val="00EF0DBC"/>
    <w:rsid w:val="00F24541"/>
    <w:rsid w:val="00FA05E9"/>
    <w:rsid w:val="00FA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973E8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1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20C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1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20C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1002</Words>
  <Characters>5713</Characters>
  <Application>Microsoft Macintosh Word</Application>
  <DocSecurity>4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</Company>
  <LinksUpToDate>false</LinksUpToDate>
  <CharactersWithSpaces>6702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Kemp</dc:creator>
  <cp:lastModifiedBy>Hanna Kemp</cp:lastModifiedBy>
  <cp:revision>2</cp:revision>
  <cp:lastPrinted>2013-09-10T21:52:00Z</cp:lastPrinted>
  <dcterms:created xsi:type="dcterms:W3CDTF">2013-09-17T22:39:00Z</dcterms:created>
  <dcterms:modified xsi:type="dcterms:W3CDTF">2013-09-17T22:39:00Z</dcterms:modified>
</cp:coreProperties>
</file>